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9" w:rsidRDefault="004924A9" w:rsidP="00006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6E4EF5" w:rsidRPr="0092401B" w:rsidRDefault="0092401B" w:rsidP="0049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="006E4EF5" w:rsidRPr="00252547">
        <w:rPr>
          <w:rFonts w:ascii="Times New Roman" w:hAnsi="Times New Roman"/>
          <w:b/>
          <w:sz w:val="28"/>
          <w:szCs w:val="28"/>
        </w:rPr>
        <w:t xml:space="preserve">ООП </w:t>
      </w:r>
      <w:proofErr w:type="gramStart"/>
      <w:r w:rsidR="006E4EF5" w:rsidRPr="00252547">
        <w:rPr>
          <w:rFonts w:ascii="Times New Roman" w:hAnsi="Times New Roman"/>
          <w:b/>
          <w:sz w:val="28"/>
          <w:szCs w:val="28"/>
        </w:rPr>
        <w:t>ДО</w:t>
      </w:r>
      <w:proofErr w:type="gramEnd"/>
    </w:p>
    <w:tbl>
      <w:tblPr>
        <w:tblW w:w="1499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  <w:gridCol w:w="875"/>
      </w:tblGrid>
      <w:tr w:rsidR="005B35D2" w:rsidRPr="001B1DAB" w:rsidTr="000B039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B35D2" w:rsidRPr="001B1DAB" w:rsidTr="005B35D2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Default="005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Default="005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Default="005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Default="005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B35D2" w:rsidRDefault="005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 xml:space="preserve">Наличие ООП </w:t>
            </w:r>
            <w:proofErr w:type="gramStart"/>
            <w:r w:rsidRPr="001B1DA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B55415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B55415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B55415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B55415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B55415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F96795" w:rsidRDefault="005B35D2" w:rsidP="0092401B">
            <w:pPr>
              <w:pStyle w:val="Default"/>
              <w:jc w:val="both"/>
            </w:pPr>
            <w:r>
              <w:t xml:space="preserve">Наличие рабочих программ к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pStyle w:val="Default"/>
              <w:jc w:val="both"/>
            </w:pPr>
            <w:r>
              <w:t xml:space="preserve">Наличие учебного плана, годового календарного учебного графика, краткой презентации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pStyle w:val="Default"/>
              <w:jc w:val="both"/>
            </w:pPr>
            <w:r>
              <w:t>Н</w:t>
            </w:r>
            <w:r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4924A9">
            <w:pPr>
              <w:pStyle w:val="Default"/>
              <w:jc w:val="both"/>
            </w:pPr>
            <w:r>
              <w:t>С</w:t>
            </w:r>
            <w:r w:rsidRPr="00F96795">
              <w:t xml:space="preserve">оответствие целевого, содержательного и организационного компонента </w:t>
            </w:r>
            <w:r>
              <w:t xml:space="preserve">ООП ДО </w:t>
            </w:r>
            <w:proofErr w:type="gramStart"/>
            <w:r w:rsidRPr="00F96795">
              <w:t>возрастны</w:t>
            </w:r>
            <w:r>
              <w:t>м</w:t>
            </w:r>
            <w:proofErr w:type="gramEnd"/>
            <w:r>
              <w:t xml:space="preserve"> и индивидуальным </w:t>
            </w:r>
            <w:proofErr w:type="spellStart"/>
            <w:r>
              <w:t>особенностямобучающихся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pStyle w:val="Default"/>
              <w:jc w:val="both"/>
            </w:pPr>
            <w:proofErr w:type="gramStart"/>
            <w:r>
              <w:t>Ц</w:t>
            </w:r>
            <w:r w:rsidRPr="00F96795">
              <w:t xml:space="preserve">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</w:t>
            </w:r>
            <w:r>
              <w:t>услуги со стороны потребителей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pStyle w:val="Default"/>
              <w:jc w:val="both"/>
            </w:pPr>
            <w:proofErr w:type="gramStart"/>
            <w:r>
              <w:t>Ц</w:t>
            </w:r>
            <w:r w:rsidRPr="00F96795">
              <w:t xml:space="preserve">елевая направленность, содержательный и организационный компонент </w:t>
            </w:r>
            <w:r>
              <w:t>ООП ДО</w:t>
            </w:r>
            <w:r w:rsidRPr="00F96795">
              <w:t xml:space="preserve">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</w:t>
            </w:r>
            <w:r>
              <w:t>я образовательная деятельность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5B35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0E6711">
            <w:pPr>
              <w:pStyle w:val="Default"/>
              <w:jc w:val="both"/>
            </w:pPr>
            <w:r>
              <w:t>Ц</w:t>
            </w:r>
            <w:r w:rsidRPr="00F96795">
              <w:t xml:space="preserve">елевая направленность, содержательный и организационный компонент </w:t>
            </w:r>
            <w:r w:rsidRPr="00A21E17">
              <w:t xml:space="preserve">ООП </w:t>
            </w:r>
            <w:proofErr w:type="spellStart"/>
            <w:r w:rsidRPr="00A21E17">
              <w:t>ДО</w:t>
            </w:r>
            <w:r w:rsidRPr="00F96795">
              <w:t>разработаны</w:t>
            </w:r>
            <w:proofErr w:type="spellEnd"/>
            <w:r w:rsidRPr="00F96795">
              <w:t xml:space="preserve"> на основе учета потребностей и возможностей всех участников образовательных отно</w:t>
            </w:r>
            <w:r>
              <w:t>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D2" w:rsidRPr="0092401B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D2" w:rsidRPr="001B1DAB" w:rsidTr="00A7645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35D2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35D2" w:rsidRDefault="005B35D2" w:rsidP="000E6711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35D2" w:rsidRPr="004765BD" w:rsidRDefault="005B35D2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415F" w:rsidRPr="000B415F" w:rsidRDefault="000B415F" w:rsidP="005B35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781"/>
        <w:gridCol w:w="2916"/>
        <w:gridCol w:w="3056"/>
        <w:gridCol w:w="3033"/>
      </w:tblGrid>
      <w:tr w:rsidR="005B35D2" w:rsidRPr="000B415F" w:rsidTr="005B35D2">
        <w:trPr>
          <w:jc w:val="center"/>
        </w:trPr>
        <w:tc>
          <w:tcPr>
            <w:tcW w:w="3000" w:type="dxa"/>
            <w:shd w:val="clear" w:color="auto" w:fill="auto"/>
          </w:tcPr>
          <w:p w:rsidR="005B35D2" w:rsidRPr="000B415F" w:rsidRDefault="005B35D2" w:rsidP="005B3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уровень соответствия низкий</w:t>
            </w:r>
          </w:p>
        </w:tc>
        <w:tc>
          <w:tcPr>
            <w:tcW w:w="2781" w:type="dxa"/>
            <w:shd w:val="clear" w:color="auto" w:fill="auto"/>
          </w:tcPr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– ниже среднего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выше среднего</w:t>
            </w: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B35D2" w:rsidRPr="000B415F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:rsidR="005B35D2" w:rsidRDefault="005B35D2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 высокий</w:t>
            </w: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252547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АНАЛИЗ качества АООП </w:t>
      </w:r>
      <w:proofErr w:type="gramStart"/>
      <w:r w:rsidRPr="0025254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C549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99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139"/>
        <w:gridCol w:w="851"/>
        <w:gridCol w:w="850"/>
        <w:gridCol w:w="842"/>
        <w:gridCol w:w="875"/>
        <w:gridCol w:w="875"/>
      </w:tblGrid>
      <w:tr w:rsidR="005E1319" w:rsidRPr="004C549C" w:rsidTr="007A7AA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4C549C">
              <w:rPr>
                <w:rFonts w:ascii="Times New Roman" w:hAnsi="Times New Roman"/>
              </w:rPr>
              <w:t xml:space="preserve">Наличие АООП </w:t>
            </w:r>
            <w:proofErr w:type="gramStart"/>
            <w:r w:rsidRPr="004C549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рабочих программ к АООП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учебного плана, годового календарного учебного графика, краткой презентации АООП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Содержательный раздел АООП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включает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себя содержание коррекционной работы с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целевого, содержательного и организационного компонента АООП ДО возрастным и индивидуальным особенностям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Целевая направленность, содержательный и организационный компонент АООП ДО </w:t>
            </w:r>
            <w:proofErr w:type="gramStart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разработаны</w:t>
            </w:r>
            <w:proofErr w:type="gramEnd"/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D730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rPr>
          <w:lang w:val="en-US"/>
        </w:rPr>
      </w:pPr>
    </w:p>
    <w:p w:rsidR="004C549C" w:rsidRPr="004C549C" w:rsidRDefault="004C549C" w:rsidP="004C549C">
      <w:pPr>
        <w:rPr>
          <w:lang w:val="en-US"/>
        </w:rPr>
      </w:pPr>
      <w:r>
        <w:rPr>
          <w:lang w:val="en-US"/>
        </w:rPr>
        <w:br w:type="page"/>
      </w:r>
    </w:p>
    <w:p w:rsidR="004C549C" w:rsidRPr="004C549C" w:rsidRDefault="004C549C" w:rsidP="004C549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3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Pr="00252547">
        <w:rPr>
          <w:rFonts w:ascii="Times New Roman" w:hAnsi="Times New Roman"/>
          <w:b/>
          <w:sz w:val="28"/>
          <w:szCs w:val="28"/>
          <w:lang w:eastAsia="ar-SA"/>
        </w:rPr>
        <w:t>дополнительных общеразвивающих программ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  <w:gridCol w:w="875"/>
      </w:tblGrid>
      <w:tr w:rsidR="005E1319" w:rsidRPr="004C549C" w:rsidTr="0047107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4C549C" w:rsidTr="005E1319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CE6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возраст детей, на которых рассчитана Программа;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срок реализации Программы;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ФИО, должность автора или автора-составителя Программы;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5E1319" w:rsidRPr="004C549C" w:rsidRDefault="005E1319" w:rsidP="004C549C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направленность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актуальность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цель, задачи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отличительные особенности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адресат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планируемые результаты освоения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формы педагогической диагностики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результаты фиксации освоения Программы </w:t>
            </w:r>
          </w:p>
          <w:p w:rsidR="005E1319" w:rsidRPr="004C549C" w:rsidRDefault="005E1319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Содержание программы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разделов и тем внутри разделов. 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материал излагается назывными предложениями;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содержание каждого года обучения оформляется отдельно;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5E1319" w:rsidRPr="004C549C" w:rsidRDefault="005E1319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Учебный план</w:t>
            </w:r>
          </w:p>
          <w:p w:rsidR="005E1319" w:rsidRPr="004C549C" w:rsidRDefault="005E1319" w:rsidP="004C549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сопровождение программы</w:t>
            </w:r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методы обучения </w:t>
            </w:r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организации </w:t>
            </w:r>
            <w:proofErr w:type="gramStart"/>
            <w:r w:rsidRPr="004C549C">
              <w:rPr>
                <w:rFonts w:ascii="Times New Roman" w:hAnsi="Times New Roman"/>
              </w:rPr>
              <w:t>образовательного</w:t>
            </w:r>
            <w:proofErr w:type="gramEnd"/>
            <w:r w:rsidRPr="004C549C">
              <w:rPr>
                <w:rFonts w:ascii="Times New Roman" w:hAnsi="Times New Roman"/>
              </w:rPr>
              <w:t xml:space="preserve"> </w:t>
            </w:r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C549C">
              <w:rPr>
                <w:rFonts w:ascii="Times New Roman" w:hAnsi="Times New Roman"/>
              </w:rPr>
              <w:t>формы организации занятия (</w:t>
            </w:r>
            <w:proofErr w:type="gramEnd"/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алгоритм занятия (краткое описание структуры занятия и его этапов);</w:t>
            </w:r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педагогические технологии </w:t>
            </w:r>
          </w:p>
          <w:p w:rsidR="005E1319" w:rsidRPr="004C549C" w:rsidRDefault="005E1319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Организация работы по программе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Программы;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режим занятий, их продолжительность и периодичность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особенности организации образовательного процесса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кадровое обеспечение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материально-техническое обеспечение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информационное обеспечение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5E131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обеспечение (список используемой литературы):</w:t>
            </w:r>
          </w:p>
          <w:p w:rsidR="005E1319" w:rsidRPr="004C549C" w:rsidRDefault="005E1319" w:rsidP="004C549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5E1319" w:rsidRPr="004C549C" w:rsidRDefault="005E1319" w:rsidP="004C549C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4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Наличие рабочих программ к дополнительным общеразвивающим программам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319" w:rsidRPr="004C549C" w:rsidTr="00A73F80">
        <w:trPr>
          <w:trHeight w:val="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полное наименование образовательного учреждения, реализующего Рабочую программу;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гриф о рассмотрении, согласовании и утверждении Рабочей программы (где, когда и кем </w:t>
            </w:r>
            <w:proofErr w:type="gramStart"/>
            <w:r w:rsidRPr="004C549C">
              <w:rPr>
                <w:rFonts w:ascii="Times New Roman" w:hAnsi="Times New Roman"/>
              </w:rPr>
              <w:t>рассмотрена</w:t>
            </w:r>
            <w:proofErr w:type="gramEnd"/>
            <w:r w:rsidRPr="004C549C">
              <w:rPr>
                <w:rFonts w:ascii="Times New Roman" w:hAnsi="Times New Roman"/>
              </w:rPr>
              <w:t>, согласована и утверждена);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тип программы («Рабочая программа на 20_-20_ учебный год к дополнительной общеразвивающей программе (направленность и ее название»);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возраст детей, на которых рассчитана Рабочая программа;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Рабочей программы;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ФИО, должность автора или автора-составителя Рабочей программы;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название города, населенного пункта, в котором реализуется Рабочая программа;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год разработки Рабочей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направленность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актуальность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цель, задачи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отличительные особенности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адресат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планируемые результаты освоения Программы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педагогической диагностики </w:t>
            </w:r>
          </w:p>
          <w:p w:rsidR="005E1319" w:rsidRPr="004C549C" w:rsidRDefault="005E1319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результаты фиксации освоения Программы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Годовой календарный учебный график</w:t>
            </w:r>
          </w:p>
          <w:p w:rsidR="005E1319" w:rsidRPr="004C549C" w:rsidRDefault="005E1319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определяется чередование учебной нагрузки и времени отдыха по календарным неделям учебного года.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Учебный план </w:t>
            </w:r>
          </w:p>
          <w:p w:rsidR="005E1319" w:rsidRPr="004C549C" w:rsidRDefault="005E1319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содержит периоды обучения, перечень разделов, тем, количество часов по каждой теме, формы контроля. В случае если обучение ведется в группах разного возраста, учебные планы разрабатываются для каждой возрастной группы обучающихся.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Режим занятий, их продолжительность и периодичность</w:t>
            </w:r>
          </w:p>
          <w:p w:rsidR="005E1319" w:rsidRPr="004C549C" w:rsidRDefault="005E1319" w:rsidP="004C5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</w:rPr>
              <w:t>общее количество часов в год; количество часов и занятий в неделю, периодичность и продолжительность занятий.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Расписание занятий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4C549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trHeight w:val="10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Итогово</w:t>
            </w:r>
            <w:proofErr w:type="spellEnd"/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-отчетные мероприятия</w:t>
            </w:r>
          </w:p>
          <w:p w:rsidR="005E1319" w:rsidRPr="004C549C" w:rsidRDefault="005E1319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Указаны </w:t>
            </w:r>
            <w:proofErr w:type="spellStart"/>
            <w:r w:rsidRPr="004C549C">
              <w:rPr>
                <w:rFonts w:ascii="Times New Roman" w:hAnsi="Times New Roman"/>
              </w:rPr>
              <w:t>итогово</w:t>
            </w:r>
            <w:proofErr w:type="spellEnd"/>
            <w:r w:rsidRPr="004C549C">
              <w:rPr>
                <w:rFonts w:ascii="Times New Roman" w:hAnsi="Times New Roman"/>
              </w:rPr>
              <w:t>-отчетные мероприятия, запланированные на текущий учебный год, сроки их проведения.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Информационное обеспечение</w:t>
            </w:r>
          </w:p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перечень аудио-, видео-, фото-, Интернет источников, используемых для реализации программы в текущем учебном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Методическое обеспечение (список используемой литературы):</w:t>
            </w:r>
          </w:p>
          <w:p w:rsidR="005E1319" w:rsidRPr="004C549C" w:rsidRDefault="005E1319" w:rsidP="004C549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5E1319" w:rsidRPr="004C549C" w:rsidRDefault="005E1319" w:rsidP="004C549C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trHeight w:val="6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дополнительных общеразвивающих программ определяется в рамках следующих направленностей: </w:t>
            </w:r>
            <w:proofErr w:type="gramStart"/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естественнонаучная, физкультурно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-спортивная, художественная, туристско-краеведческая, социально-педагогическая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дополнительных общеразвивающих </w:t>
            </w: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 возрастным и индивидуальным особенностям 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549C">
              <w:rPr>
                <w:rFonts w:ascii="Times New Roman" w:hAnsi="Times New Roman"/>
                <w:sz w:val="24"/>
                <w:szCs w:val="24"/>
              </w:rPr>
              <w:t xml:space="preserve">Дополнительные общеразвивающие </w:t>
            </w:r>
            <w:proofErr w:type="spellStart"/>
            <w:r w:rsidRPr="004C549C">
              <w:rPr>
                <w:rFonts w:ascii="Times New Roman" w:hAnsi="Times New Roman"/>
                <w:sz w:val="24"/>
                <w:szCs w:val="24"/>
              </w:rPr>
              <w:t>программыразработаны</w:t>
            </w:r>
            <w:proofErr w:type="spellEnd"/>
            <w:r w:rsidRPr="004C549C">
              <w:rPr>
                <w:rFonts w:ascii="Times New Roman" w:hAnsi="Times New Roman"/>
                <w:sz w:val="24"/>
                <w:szCs w:val="24"/>
              </w:rPr>
              <w:t xml:space="preserve"> в соответствии с изучением спроса на дополнительные образовательные услуги со стороны потребителей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B7335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АНАЛИЗ качества образовательного процесса, организованного взрослым</w:t>
      </w:r>
      <w:r w:rsidRPr="004C549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6796"/>
        <w:gridCol w:w="875"/>
        <w:gridCol w:w="875"/>
        <w:gridCol w:w="875"/>
        <w:gridCol w:w="875"/>
        <w:gridCol w:w="875"/>
      </w:tblGrid>
      <w:tr w:rsidR="005E1319" w:rsidRPr="004C549C" w:rsidTr="00AD18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4C549C" w:rsidTr="005E131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4C549C" w:rsidTr="005C12A3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1812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9C31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Приемы развития высших психических функций (мышление, внимание, память).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заданий с опорой на несколько анализаторов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CB4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975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E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5E13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4C549C" w:rsidTr="00C81BC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4C549C" w:rsidRDefault="005E1319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Pr="004C549C" w:rsidRDefault="004C549C" w:rsidP="004C54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0B415F" w:rsidRPr="000B415F" w:rsidRDefault="004C549C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0B415F" w:rsidRPr="000B41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5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1. ТВОРЧЕСКАЯ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сюжетной игрой)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3-й уровень\высокий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Унифицированная карта развития </w:t>
      </w:r>
      <w:proofErr w:type="spellStart"/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>группы</w:t>
      </w:r>
      <w:proofErr w:type="spellEnd"/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2. ИНИЦИАТИВА КАК ЦЕЛЕПОЛАГАНИЕ И ВОЛЕВОЕ УСИЛИЕ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продуктивной деятельностью)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3. КОММУНИКАТИВНАЯ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(наблюдение за </w:t>
      </w:r>
      <w:proofErr w:type="gramStart"/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совместной</w:t>
      </w:r>
      <w:proofErr w:type="gramEnd"/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деятельностью-игровой и продуктивной)</w:t>
      </w:r>
    </w:p>
    <w:p w:rsidR="000B415F" w:rsidRPr="000B415F" w:rsidRDefault="000B415F" w:rsidP="000B415F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5730195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развернутой форме предлагает партнерам исходные замысли, цели; договаривается о распределении действий, не ущемляя интересы других участников; </w:t>
            </w:r>
            <w:proofErr w:type="gramStart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избирателен</w:t>
            </w:r>
            <w:proofErr w:type="gramEnd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выборе, осознанно стремится к взаимопониманию и поддержанию слаженного взаимодействия</w:t>
            </w:r>
          </w:p>
        </w:tc>
      </w:tr>
      <w:bookmarkEnd w:id="0"/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Бланк 4. ПОЗНАВАТЕЛЬНАЯ ИНИЦИАТИВА (ЛЮБОЗНАТЕЛЬНОСТЬ)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познавательно- исследовательской и продуктивной деятельностью)</w:t>
      </w:r>
    </w:p>
    <w:p w:rsidR="000B415F" w:rsidRPr="000B415F" w:rsidRDefault="000B415F" w:rsidP="000B415F">
      <w:pPr>
        <w:spacing w:after="24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5.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ДВИГАТЕЛЬНАЯ ИНИЦИАТИВА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r w:rsidRPr="000B415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различными формами двигательной активности)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участвует в играх, организованных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взрослым, при появлении интересного предмета не ограничивается его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созерцанием, а перемещается ближе к нему, стремится совершить с ним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почему у него не получаются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или иные движения, в игре стремится освоить новые типы движений, подражая взрослому.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Интересуется у взрослого, как выполнить те или иные физические упражнения наиболее эффективно, охотно выполняет </w:t>
            </w:r>
            <w:proofErr w:type="gramStart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различную</w:t>
            </w:r>
            <w:proofErr w:type="gramEnd"/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6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252547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0B415F" w:rsidRPr="000B415F" w:rsidTr="000B415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от 0 до </w:t>
            </w:r>
            <w:r w:rsidR="005E1319" w:rsidRPr="005E13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E1319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B415F" w:rsidRPr="000B415F" w:rsidTr="008870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8870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Взаимодействие с родителями </w:t>
            </w:r>
            <w:proofErr w:type="gramStart"/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обучающихся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8870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8870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319" w:rsidRPr="000B415F" w:rsidRDefault="005E1319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КАРТА</w:t>
      </w:r>
      <w:r w:rsidR="008870BC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  <w:r w:rsidR="009223E8" w:rsidRPr="00252547">
        <w:rPr>
          <w:rFonts w:ascii="Times New Roman" w:hAnsi="Times New Roman"/>
          <w:b/>
          <w:sz w:val="28"/>
          <w:szCs w:val="28"/>
        </w:rPr>
        <w:t>(показатели)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  <w:gridCol w:w="875"/>
      </w:tblGrid>
      <w:tr w:rsidR="005E1319" w:rsidRPr="000B415F" w:rsidTr="0053688F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0B415F" w:rsidTr="001F7CC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6A4C9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Побуждают детей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0E1EC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Выслушивают детей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3016B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FD31F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C10A9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252547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 xml:space="preserve">КАРТА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</w:t>
      </w:r>
      <w:r w:rsidRPr="00252547">
        <w:rPr>
          <w:rFonts w:ascii="Times New Roman" w:hAnsi="Times New Roman"/>
          <w:b/>
          <w:bCs/>
          <w:sz w:val="28"/>
          <w:szCs w:val="28"/>
          <w:lang w:eastAsia="en-GB"/>
        </w:rPr>
        <w:t xml:space="preserve">с родителями </w:t>
      </w:r>
      <w:proofErr w:type="gramStart"/>
      <w:r w:rsidRPr="00252547">
        <w:rPr>
          <w:rFonts w:ascii="Times New Roman" w:hAnsi="Times New Roman"/>
          <w:b/>
          <w:bCs/>
          <w:sz w:val="28"/>
          <w:szCs w:val="28"/>
          <w:lang w:eastAsia="en-GB"/>
        </w:rPr>
        <w:t>обучающихся</w:t>
      </w:r>
      <w:proofErr w:type="gramEnd"/>
    </w:p>
    <w:tbl>
      <w:tblPr>
        <w:tblW w:w="152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  <w:gridCol w:w="732"/>
      </w:tblGrid>
      <w:tr w:rsidR="005E1319" w:rsidRPr="000B415F" w:rsidTr="00605FE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2F399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0"/>
        <w:rPr>
          <w:vanish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252547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tbl>
      <w:tblPr>
        <w:tblW w:w="15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  <w:gridCol w:w="875"/>
      </w:tblGrid>
      <w:tr w:rsidR="005E1319" w:rsidRPr="000B415F" w:rsidTr="0075413B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0B415F" w:rsidTr="00DB6A43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со спортивными учреждениями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дополнительного образования и 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образования 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 иными социальными </w:t>
            </w:r>
            <w:r w:rsidR="00252547">
              <w:rPr>
                <w:rFonts w:ascii="Times New Roman" w:hAnsi="Times New Roman"/>
                <w:sz w:val="24"/>
                <w:szCs w:val="24"/>
              </w:rPr>
              <w:t>партнерами (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ГИБДД, МЧС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637AB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0B41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более 6 мероприятий в </w:t>
            </w:r>
            <w:r w:rsidRPr="000B415F">
              <w:rPr>
                <w:rFonts w:ascii="Times New Roman" w:hAnsi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D43B4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15F" w:rsidRPr="000B415F" w:rsidRDefault="000B415F" w:rsidP="000B415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ОБЩИЙ АНАЛИЗ качества финансовых условий</w:t>
      </w:r>
      <w:r w:rsidRPr="000B415F">
        <w:rPr>
          <w:rFonts w:ascii="Times New Roman" w:hAnsi="Times New Roman"/>
          <w:b/>
          <w:sz w:val="28"/>
          <w:szCs w:val="28"/>
        </w:rPr>
        <w:t xml:space="preserve">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  <w:gridCol w:w="875"/>
      </w:tblGrid>
      <w:tr w:rsidR="005E1319" w:rsidRPr="000B415F" w:rsidTr="00FD39BB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0B415F" w:rsidTr="005E1319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0B415F" w:rsidTr="005E131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возможности выполнения требований ФГОС ДО к условиям реализации и структуре ООП </w:t>
            </w:r>
            <w:proofErr w:type="gramStart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470F4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 перечня расходов по обеспечению финансовых условий</w:t>
      </w:r>
    </w:p>
    <w:p w:rsidR="000B415F" w:rsidRPr="000B415F" w:rsidRDefault="000B415F" w:rsidP="000B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9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8420"/>
        <w:gridCol w:w="2835"/>
      </w:tblGrid>
      <w:tr w:rsidR="000B415F" w:rsidRPr="000B415F" w:rsidTr="008870BC">
        <w:trPr>
          <w:trHeight w:val="4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0B415F" w:rsidRPr="000B415F" w:rsidTr="000B415F">
        <w:trPr>
          <w:trHeight w:val="30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учебно-вспомогательного, технического персонала, а также привлекаемых к реализации ООП ДО внештатных сотрудников.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Для детей с ОВЗ 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Расходы, связанные с дополнительным профессиональным образованием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руководящих и педагогических работников по профилю их деятельности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- повышение квалификации в соответствии с занимаемой должностью не реже, чем один раз в три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 управления финансовыми условиями</w:t>
      </w:r>
      <w:r w:rsidRPr="000B415F">
        <w:rPr>
          <w:rFonts w:ascii="Times New Roman" w:hAnsi="Times New Roman"/>
          <w:b/>
          <w:sz w:val="28"/>
          <w:szCs w:val="28"/>
        </w:rPr>
        <w:t xml:space="preserve">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  <w:gridCol w:w="875"/>
      </w:tblGrid>
      <w:tr w:rsidR="005E1319" w:rsidRPr="000B415F" w:rsidTr="00F3664D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0B415F" w:rsidTr="001817C2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Уровень средней зарплаты по педагогическим работникам Учреждения в соответствии с городским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6937CC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BF473C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005DD7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</w:t>
            </w:r>
            <w:proofErr w:type="spellStart"/>
            <w:r w:rsidRPr="000B415F">
              <w:rPr>
                <w:rFonts w:ascii="Times New Roman" w:hAnsi="Times New Roman"/>
                <w:sz w:val="24"/>
                <w:szCs w:val="24"/>
              </w:rPr>
              <w:t>bus.gow</w:t>
            </w:r>
            <w:proofErr w:type="spellEnd"/>
            <w:r w:rsidRPr="000B415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6B4BF1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Имеется калькуляция на предоставление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2D1700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0B415F" w:rsidTr="005E1319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0B415F" w:rsidTr="005E1319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0B415F" w:rsidRDefault="005E1319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B139E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ОБЩИЙ АНАЛИЗ качества материально-технических условий</w:t>
      </w:r>
      <w:r w:rsidRPr="009B139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9B139E" w:rsidRPr="009B139E" w:rsidTr="008870BC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от 0 до </w:t>
            </w:r>
            <w:r w:rsidR="005E1319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</w:t>
            </w:r>
            <w:proofErr w:type="gram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условий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8870B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B139E" w:rsidRPr="009B139E" w:rsidSect="008870BC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252547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9B139E" w:rsidRPr="00252547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  <w:gridCol w:w="875"/>
      </w:tblGrid>
      <w:tr w:rsidR="005E1319" w:rsidRPr="009B139E" w:rsidTr="00F85519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7A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087B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к оборудованию и содержанию территории ДОУ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3001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к зданию, помещениям, оборудованию и их содержанию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146C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к размещению оборудования в помещениях ДОУ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Раздевальные оборудованы шкафами для верхней одежды детей и персонала.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5E1319" w:rsidRPr="009B139E" w:rsidRDefault="005E1319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Основные размеры столов и стульев для детей </w:t>
            </w:r>
            <w:proofErr w:type="gramStart"/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раннего</w:t>
            </w:r>
            <w:proofErr w:type="gramEnd"/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Таблица 1.</w:t>
            </w:r>
          </w:p>
          <w:p w:rsidR="005E1319" w:rsidRPr="009B139E" w:rsidRDefault="005E1319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1872"/>
              <w:gridCol w:w="2340"/>
              <w:gridCol w:w="1755"/>
            </w:tblGrid>
            <w:tr w:rsidR="005E1319" w:rsidRPr="009B139E" w:rsidTr="008870BC">
              <w:trPr>
                <w:trHeight w:val="400"/>
                <w:tblCellSpacing w:w="5" w:type="nil"/>
              </w:trPr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Группа роста детей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Высота стола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стула </w:t>
                  </w: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  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до 850    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00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340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180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свыше 850 до 1000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400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220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1000 - 1150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1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460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260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1150 - 1300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2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520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300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1300 - 1450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3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580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340     </w:t>
                  </w:r>
                </w:p>
              </w:tc>
            </w:tr>
            <w:tr w:rsidR="005E1319" w:rsidRPr="009B139E" w:rsidTr="008870BC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1450 - 1600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640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319" w:rsidRPr="009B139E" w:rsidRDefault="005E1319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380     </w:t>
                  </w:r>
                </w:p>
              </w:tc>
            </w:tr>
          </w:tbl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319" w:rsidRPr="009B139E" w:rsidRDefault="005E1319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пенолатексные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8073B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8870BC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 соответствия материально-технических условий правилам пожарной безопасности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  <w:gridCol w:w="875"/>
      </w:tblGrid>
      <w:tr w:rsidR="005E1319" w:rsidRPr="009B139E" w:rsidTr="00AB2F8A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7A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наружного противопожарного водоснабжения</w:t>
            </w:r>
            <w:r w:rsidRPr="009B139E">
              <w:rPr>
                <w:sz w:val="18"/>
                <w:szCs w:val="18"/>
              </w:rPr>
              <w:t xml:space="preserve"> 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требований пожарной безопасности ДОУ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jc w:val="center"/>
            </w:pPr>
          </w:p>
        </w:tc>
      </w:tr>
      <w:tr w:rsidR="005E1319" w:rsidRPr="009B139E" w:rsidTr="00D31043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9B139E" w:rsidRDefault="005E1319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8870BC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252547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в зависимости от возраста и индивидуальных особенностей развития детей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  <w:gridCol w:w="875"/>
      </w:tblGrid>
      <w:tr w:rsidR="005E1319" w:rsidRPr="009B139E" w:rsidTr="003121B8">
        <w:trPr>
          <w:jc w:val="center"/>
        </w:trPr>
        <w:tc>
          <w:tcPr>
            <w:tcW w:w="543" w:type="dxa"/>
            <w:vMerge w:val="restart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63" w:type="dxa"/>
            <w:gridSpan w:val="5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vMerge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9B139E" w:rsidTr="005E1319">
        <w:trPr>
          <w:trHeight w:val="513"/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7A6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4358F8">
        <w:trPr>
          <w:jc w:val="center"/>
        </w:trPr>
        <w:tc>
          <w:tcPr>
            <w:tcW w:w="543" w:type="dxa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206" w:type="dxa"/>
            <w:shd w:val="clear" w:color="auto" w:fill="92D050"/>
          </w:tcPr>
          <w:p w:rsidR="005E1319" w:rsidRPr="009B139E" w:rsidRDefault="005E1319" w:rsidP="007A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м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средств обучения и воспитания</w:t>
            </w:r>
          </w:p>
        </w:tc>
        <w:tc>
          <w:tcPr>
            <w:tcW w:w="4363" w:type="dxa"/>
            <w:gridSpan w:val="5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</w:t>
            </w:r>
            <w:proofErr w:type="gramStart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настенные</w:t>
            </w:r>
            <w:proofErr w:type="gramEnd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 приборов (компас, солнечные часы, флюгер, микроскопы, колбы и т.д.);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56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музыкальных инструментов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7743F1">
        <w:trPr>
          <w:jc w:val="center"/>
        </w:trPr>
        <w:tc>
          <w:tcPr>
            <w:tcW w:w="543" w:type="dxa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4363" w:type="dxa"/>
            <w:gridSpan w:val="5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0F2979">
        <w:trPr>
          <w:jc w:val="center"/>
        </w:trPr>
        <w:tc>
          <w:tcPr>
            <w:tcW w:w="543" w:type="dxa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4363" w:type="dxa"/>
            <w:gridSpan w:val="5"/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9816CC">
        <w:trPr>
          <w:jc w:val="center"/>
        </w:trPr>
        <w:tc>
          <w:tcPr>
            <w:tcW w:w="543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, имеющих тяжелые нарушения речи</w:t>
            </w:r>
          </w:p>
        </w:tc>
        <w:tc>
          <w:tcPr>
            <w:tcW w:w="4363" w:type="dxa"/>
            <w:gridSpan w:val="5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отдельного кабинета учителя-логопеда, оснащенного необходимым оборудованием для коррекционной-развивающей работы 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отдельного кабинета педагога-психолога, оснащенного необходимым оборудованием для коррекционной-развивающей работы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265713">
        <w:trPr>
          <w:jc w:val="center"/>
        </w:trPr>
        <w:tc>
          <w:tcPr>
            <w:tcW w:w="543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 по зрению:</w:t>
            </w:r>
          </w:p>
        </w:tc>
        <w:tc>
          <w:tcPr>
            <w:tcW w:w="4363" w:type="dxa"/>
            <w:gridSpan w:val="5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ве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контента и веб-сервисов (</w:t>
            </w: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WCAG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AB62F9">
        <w:trPr>
          <w:jc w:val="center"/>
        </w:trPr>
        <w:tc>
          <w:tcPr>
            <w:tcW w:w="543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BBB59"/>
          </w:tcPr>
          <w:p w:rsidR="005E1319" w:rsidRPr="009B139E" w:rsidRDefault="005E1319" w:rsidP="009B139E">
            <w:pPr>
              <w:spacing w:after="0" w:line="240" w:lineRule="auto"/>
              <w:ind w:right="12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ограниченными возможностями здоровья по слуху:</w:t>
            </w:r>
          </w:p>
        </w:tc>
        <w:tc>
          <w:tcPr>
            <w:tcW w:w="4363" w:type="dxa"/>
            <w:gridSpan w:val="5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тифлосурдоперевода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B8599B">
        <w:trPr>
          <w:jc w:val="center"/>
        </w:trPr>
        <w:tc>
          <w:tcPr>
            <w:tcW w:w="543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, имеющих нарушения опорно-двигательного аппарата:</w:t>
            </w:r>
          </w:p>
        </w:tc>
        <w:tc>
          <w:tcPr>
            <w:tcW w:w="4363" w:type="dxa"/>
            <w:gridSpan w:val="5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обучающихся 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FD7AFE">
        <w:trPr>
          <w:jc w:val="center"/>
        </w:trPr>
        <w:tc>
          <w:tcPr>
            <w:tcW w:w="543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отсталостью:</w:t>
            </w:r>
          </w:p>
        </w:tc>
        <w:tc>
          <w:tcPr>
            <w:tcW w:w="4363" w:type="dxa"/>
            <w:gridSpan w:val="5"/>
            <w:shd w:val="clear" w:color="auto" w:fill="9BBB59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206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DF4255">
        <w:trPr>
          <w:jc w:val="center"/>
        </w:trPr>
        <w:tc>
          <w:tcPr>
            <w:tcW w:w="543" w:type="dxa"/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363" w:type="dxa"/>
            <w:gridSpan w:val="5"/>
            <w:shd w:val="clear" w:color="auto" w:fill="FFFF0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8870BC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564478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 требованиям</w:t>
      </w:r>
      <w:r w:rsidR="00564478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к материально-техническому обеспечению программы</w:t>
      </w:r>
      <w:r w:rsidR="00564478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(учебно-методические комплекты, оборудование, предметное оснащение)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  <w:gridCol w:w="875"/>
      </w:tblGrid>
      <w:tr w:rsidR="005E1319" w:rsidRPr="009B139E" w:rsidTr="00CD03C9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56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D14AA2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39151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АООП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помещения оснащены развивающей предметно пространственной средой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учтены особенности детей с ОВЗ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D02F6F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564478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спортивная площадка и т.д.)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564478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564478">
            <w:pPr>
              <w:spacing w:after="0" w:line="216" w:lineRule="auto"/>
              <w:ind w:right="3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развития творческих способностей и интересов воспитанников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9B139E" w:rsidTr="0098446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5E1319" w:rsidRPr="009B139E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spacing w:after="0" w:line="216" w:lineRule="auto"/>
              <w:ind w:right="111"/>
              <w:contextualSpacing/>
              <w:rPr>
                <w:rFonts w:ascii="Times New Roman" w:hAnsi="Times New Roman"/>
              </w:rPr>
            </w:pPr>
            <w:r w:rsidRPr="009B139E">
              <w:rPr>
                <w:rFonts w:ascii="Times New Roman" w:hAnsi="Times New Roman"/>
                <w:sz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9B139E" w:rsidRDefault="005E1319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6E8" w:rsidRPr="00A256E8" w:rsidRDefault="0043512D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256E8"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9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 w:rsidR="00252547"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психолого-педагогических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A256E8" w:rsidRPr="00A256E8" w:rsidTr="008870BC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от 0 до </w:t>
            </w:r>
            <w:r w:rsidR="005E13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256E8" w:rsidRPr="00A256E8" w:rsidTr="008870B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основных психолого-педагогических условий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психолого-педагогически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услови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 с ОВЗ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 xml:space="preserve">Анализ качества основных психолого-педагогических условий </w:t>
      </w: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  <w:gridCol w:w="875"/>
      </w:tblGrid>
      <w:tr w:rsidR="005E1319" w:rsidRPr="00A256E8" w:rsidTr="00C92118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недопустимость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B55415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качества дополнительных психолого-педагогических условий для детей с ОВЗ</w:t>
      </w:r>
      <w:r w:rsidRPr="00A256E8">
        <w:rPr>
          <w:rFonts w:ascii="Times New Roman" w:hAnsi="Times New Roman"/>
          <w:b/>
          <w:sz w:val="28"/>
          <w:szCs w:val="28"/>
        </w:rPr>
        <w:t xml:space="preserve">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  <w:gridCol w:w="875"/>
      </w:tblGrid>
      <w:tr w:rsidR="005E1319" w:rsidRPr="00A256E8" w:rsidTr="00647D83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4924A9">
      <w:pPr>
        <w:spacing w:after="0" w:line="240" w:lineRule="auto"/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10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 w:rsidR="007A6AB6"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кадровых условий </w:t>
      </w:r>
    </w:p>
    <w:tbl>
      <w:tblPr>
        <w:tblW w:w="157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272"/>
        <w:gridCol w:w="8363"/>
        <w:gridCol w:w="709"/>
        <w:gridCol w:w="851"/>
        <w:gridCol w:w="708"/>
        <w:gridCol w:w="666"/>
        <w:gridCol w:w="666"/>
      </w:tblGrid>
      <w:tr w:rsidR="005E1319" w:rsidRPr="00A256E8" w:rsidTr="00DD1A36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1319" w:rsidRDefault="005E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spacing w:after="0" w:line="276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– наличие полного штата педагогов, позволяющего реализовывать ООП ДО, АООП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образование, наличие специалистов, в т. ч. для работы с детьми с ОНР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наличие полного штата педагогов (воспитателей) для реализации ООП ДО, АООП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E1319" w:rsidRPr="00A256E8" w:rsidRDefault="005E1319" w:rsidP="00A256E8">
            <w:pPr>
              <w:widowControl w:val="0"/>
              <w:spacing w:after="0" w:line="276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наличие  менее 10% вакансий педагогов в штате, необходимом для реализации ООП ДО, АООП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наличие более 10% вакансий педагогов в штате, необходимом для реализации ООП ДО, АООП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-  более 50% педагогов имеют высшее профессиональное образование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10 до 20% педагогов имеют высшее профессиональное образование (или получают его)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менее 10% педагогов имеют высшее профессиональное образование (или получают его)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jc w:val="center"/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не менее 70% педагогов имеют квалификационную категорию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от 40 до 70% педагогов имеют квалификационную категорию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20 до 40% педагогов имеют квалификационную категорию (или получают ее) </w:t>
            </w:r>
          </w:p>
          <w:p w:rsidR="005E1319" w:rsidRPr="00A256E8" w:rsidRDefault="005E1319" w:rsidP="00A256E8">
            <w:pPr>
              <w:ind w:left="35"/>
              <w:jc w:val="both"/>
              <w:rPr>
                <w:lang w:eastAsia="ru-RU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jc w:val="center"/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Дополнительное профессиональное образование педагогических </w:t>
            </w: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spacing w:after="0" w:line="276" w:lineRule="auto"/>
              <w:ind w:left="3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балла – 100% педагогов прошли курсы повышения квалификации в соответствующих объемах в соответствующие сроки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90% педагогов прошли курсы повышения квалификации в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объемах в соответствующие сроки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ind w:left="3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 балл – от 70 до 90% педагогов прошли курсы повышения квалификации в соответствующих объемах в соответствующие сроки</w:t>
            </w:r>
          </w:p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jc w:val="center"/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jc w:val="center"/>
            </w:pPr>
          </w:p>
        </w:tc>
      </w:tr>
      <w:tr w:rsidR="005E1319" w:rsidRPr="00A256E8" w:rsidTr="005E131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–  не менее 80% педагогов имеют различные профессиональные достижения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50% педагогов имеют различные профессиональные достижения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профессиональные достижения имеют отдельные педагоги  </w:t>
            </w:r>
          </w:p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педагоги ДОУ не имеют профессиональных достижений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19" w:rsidRPr="00A256E8" w:rsidRDefault="005E1319" w:rsidP="00A256E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A256E8" w:rsidRDefault="005E1319" w:rsidP="00A256E8">
            <w:pPr>
              <w:jc w:val="center"/>
            </w:pPr>
          </w:p>
        </w:tc>
      </w:tr>
      <w:tr w:rsidR="005E1319" w:rsidRPr="00A256E8" w:rsidTr="00E93E0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1319" w:rsidRPr="00A256E8" w:rsidRDefault="005E1319" w:rsidP="00A256E8">
            <w:pPr>
              <w:jc w:val="center"/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56E8" w:rsidRPr="00A256E8" w:rsidSect="008870BC">
          <w:pgSz w:w="16838" w:h="11906" w:orient="landscape"/>
          <w:pgMar w:top="720" w:right="720" w:bottom="720" w:left="720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Карта анализа кадровых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49"/>
        <w:gridCol w:w="2126"/>
        <w:gridCol w:w="1559"/>
      </w:tblGrid>
      <w:tr w:rsidR="00A256E8" w:rsidRPr="00A256E8" w:rsidTr="008870BC">
        <w:tc>
          <w:tcPr>
            <w:tcW w:w="816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49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92D050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92D050"/>
          </w:tcPr>
          <w:p w:rsidR="00A256E8" w:rsidRPr="00A256E8" w:rsidRDefault="00A256E8" w:rsidP="00A25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256E8" w:rsidRPr="00A256E8" w:rsidTr="00A256E8">
        <w:trPr>
          <w:trHeight w:val="30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rPr>
          <w:trHeight w:val="258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 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rPr>
          <w:trHeight w:val="382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rPr>
          <w:trHeight w:val="38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          результатам аттестации присвоена квалификационная категория, в общей численности    </w:t>
            </w: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  <w:proofErr w:type="gramEnd"/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 работников,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A256E8" w:rsidRPr="00A256E8" w:rsidSect="008870BC">
          <w:pgSz w:w="16838" w:h="11906" w:orient="landscape"/>
          <w:pgMar w:top="850" w:right="1134" w:bottom="1701" w:left="1134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 w:rsidR="007A6AB6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профессиональной компетентности педагогического работника</w:t>
      </w:r>
      <w:r w:rsidRPr="00A256E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39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1116"/>
        <w:gridCol w:w="915"/>
        <w:gridCol w:w="1002"/>
        <w:gridCol w:w="905"/>
        <w:gridCol w:w="1055"/>
        <w:gridCol w:w="1052"/>
      </w:tblGrid>
      <w:tr w:rsidR="00796709" w:rsidRPr="00A256E8" w:rsidTr="00796709">
        <w:trPr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7" w:history="1">
              <w:r w:rsidRPr="00A256E8">
                <w:rPr>
                  <w:rFonts w:ascii="Times New Roman" w:hAnsi="Times New Roman"/>
                  <w:sz w:val="24"/>
                  <w:szCs w:val="24"/>
                </w:rPr>
                <w:t>стандартом</w:t>
              </w:r>
            </w:hyperlink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7A6AB6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7A6AB6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7A6AB6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7A6AB6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7A6AB6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недирективной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A256E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A256E8" w:rsidTr="00796709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A256E8" w:rsidRDefault="00796709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 w:rsidR="007A6AB6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профессиональных достижений педагогов</w:t>
      </w:r>
    </w:p>
    <w:p w:rsidR="00A256E8" w:rsidRPr="00A256E8" w:rsidRDefault="00A256E8" w:rsidP="00A256E8">
      <w:pPr>
        <w:spacing w:after="0" w:line="240" w:lineRule="auto"/>
        <w:ind w:left="10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1533"/>
        <w:gridCol w:w="2655"/>
      </w:tblGrid>
      <w:tr w:rsidR="00A256E8" w:rsidRPr="00A256E8" w:rsidTr="008870BC">
        <w:trPr>
          <w:trHeight w:val="926"/>
        </w:trPr>
        <w:tc>
          <w:tcPr>
            <w:tcW w:w="709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188" w:type="dxa"/>
            <w:gridSpan w:val="2"/>
            <w:shd w:val="clear" w:color="auto" w:fill="92D050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педагогов отраслевых наград, званий, ученых степеней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педагогов </w:t>
            </w: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грамот: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профессиональной деятельности, в том числе инновационной, </w:t>
            </w:r>
            <w:proofErr w:type="gramStart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Участие в  профессиональных конкурсах: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  <w:vAlign w:val="center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Количество призеров/ % </w:t>
            </w:r>
            <w:proofErr w:type="gramStart"/>
            <w:r w:rsidRPr="00A256E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принявших участие в конкурсах</w:t>
            </w: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8870BC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11 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Анализ</w:t>
      </w:r>
      <w:r w:rsidR="007A6AB6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качества развивающей предметно-пространственной среды</w:t>
      </w: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1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0175"/>
        <w:gridCol w:w="894"/>
        <w:gridCol w:w="11"/>
        <w:gridCol w:w="864"/>
        <w:gridCol w:w="11"/>
        <w:gridCol w:w="864"/>
        <w:gridCol w:w="11"/>
        <w:gridCol w:w="864"/>
        <w:gridCol w:w="11"/>
        <w:gridCol w:w="864"/>
        <w:gridCol w:w="11"/>
      </w:tblGrid>
      <w:tr w:rsidR="00796709" w:rsidRPr="00412BD8" w:rsidTr="00962727">
        <w:trPr>
          <w:gridAfter w:val="1"/>
          <w:wAfter w:w="11" w:type="dxa"/>
          <w:trHeight w:val="20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96709" w:rsidRPr="00412BD8" w:rsidTr="00796709">
        <w:trPr>
          <w:gridAfter w:val="1"/>
          <w:wAfter w:w="11" w:type="dxa"/>
          <w:trHeight w:val="12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6709" w:rsidRPr="00412BD8" w:rsidTr="00796709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ООП ДО, АООП, дополнительным общеразвивающим программам дошкольного образовательного учреждения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trHeight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trHeight w:val="3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06040B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trHeight w:val="7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trHeight w:val="4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5F42D1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trHeight w:val="3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trHeight w:val="7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3F7DA6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3B520E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Наличие материалов, игр, игрушек и оборудования в соответствии с ООП ОО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(раздел РППС)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B31238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6E7B2D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96709" w:rsidRPr="00412BD8" w:rsidTr="00796709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C9345C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Default="00412BD8" w:rsidP="004924A9">
      <w:pPr>
        <w:spacing w:after="0" w:line="240" w:lineRule="auto"/>
      </w:pPr>
    </w:p>
    <w:p w:rsidR="00412BD8" w:rsidRPr="00412BD8" w:rsidRDefault="00412BD8" w:rsidP="00412BD8">
      <w:pPr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12</w:t>
      </w:r>
    </w:p>
    <w:p w:rsidR="00412BD8" w:rsidRPr="00252547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Анализ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качества (динамики) освоения детьми содержания ООП ДО, АООП </w:t>
      </w:r>
      <w:proofErr w:type="gramStart"/>
      <w:r w:rsidRPr="00252547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412BD8" w:rsidRPr="00412BD8" w:rsidTr="00412BD8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8870BC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образовательной деятельности по профессиональной коррекции нарушений развития речи детей с ТНР (для групп, реализующих АООП </w:t>
            </w:r>
            <w:proofErr w:type="gram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252547" w:rsidRDefault="00412BD8" w:rsidP="00412BD8">
      <w:pPr>
        <w:tabs>
          <w:tab w:val="left" w:pos="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52547">
        <w:rPr>
          <w:rFonts w:ascii="Times New Roman" w:hAnsi="Times New Roman"/>
          <w:b/>
          <w:sz w:val="28"/>
          <w:szCs w:val="28"/>
        </w:rPr>
        <w:lastRenderedPageBreak/>
        <w:t>Анализ</w:t>
      </w:r>
    </w:p>
    <w:p w:rsidR="00412BD8" w:rsidRPr="00252547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дополнительных общеразвивающих программ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2547">
        <w:rPr>
          <w:rFonts w:ascii="Times New Roman" w:hAnsi="Times New Roman"/>
          <w:b/>
          <w:color w:val="FF0000"/>
          <w:sz w:val="28"/>
          <w:szCs w:val="28"/>
        </w:rPr>
        <w:t xml:space="preserve">                 (заполняется 2 раза в год, затем проводится сравнительный анализ)</w:t>
      </w:r>
    </w:p>
    <w:tbl>
      <w:tblPr>
        <w:tblW w:w="16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104"/>
        <w:gridCol w:w="2693"/>
        <w:gridCol w:w="5631"/>
        <w:gridCol w:w="776"/>
        <w:gridCol w:w="903"/>
        <w:gridCol w:w="903"/>
        <w:gridCol w:w="903"/>
        <w:gridCol w:w="903"/>
      </w:tblGrid>
      <w:tr w:rsidR="00796709" w:rsidRPr="00412BD8" w:rsidTr="00B518D2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6709" w:rsidRPr="00412BD8" w:rsidTr="00796709">
        <w:trPr>
          <w:trHeight w:val="27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ребёнка программным требованиям;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объём усвоенных знаний составляет менее ½ объёма знаний, предусмотренных программой;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знаний составляет более ½ объёма знаний, предусмотренных программой;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освоил практически весь объём знаний,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не знает терминов;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знает не все термины;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знает все термины, но не применяет;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знает термины и умеет их применять.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овладел менее чем ½ объёма предусмотренных умений и навыков;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2 - объём усвоенных умений и навыков составляет более ½ объёма; 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Владение специальным оборудованием 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оснащением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затруднений в использовании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оборудования и оснащения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0 - показатель не представлен;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1 - ребёнок испытывает серьёзные затруднения при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работе с оборудованием;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работает с оборудованием с помощью педагога;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3 - работает с оборудованием самостоятельно, не испытывает особых трудностей).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в состоянии выполнять лишь простейшие практические задания педагога;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выполняет в основном задания на основе образца;</w:t>
            </w:r>
          </w:p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выполняет практические задания с элементами творчества.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trHeight w:val="143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организовать своё рабочее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испытывает серьёзные затруднения, нуждается в постоянной помощи и контроле педагога;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2 - готовит рабочее место с частичной помощью педагога)</w:t>
            </w:r>
            <w:proofErr w:type="gramEnd"/>
          </w:p>
          <w:p w:rsidR="00796709" w:rsidRPr="00412BD8" w:rsidRDefault="00796709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ребенок всё делает сам.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Навыки соблюдения  в процессе деятельности правил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  <w:r w:rsidRPr="00412BD8">
              <w:rPr>
                <w:rFonts w:cs="Calibri"/>
              </w:rPr>
              <w:t xml:space="preserve"> -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ребёнок овладел менее чем ½ объёма навыков соблюдения правил безопасности, предусмотренных программой);</w:t>
            </w:r>
            <w:proofErr w:type="gramEnd"/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навыков составляет более ½;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3- воспитанник освоил практически весь объём навыков,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09" w:rsidRPr="00412BD8" w:rsidTr="0079670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Аккуратность и ответственность  в работе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удовлетворительно;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хорошо;</w:t>
            </w:r>
          </w:p>
          <w:p w:rsidR="00796709" w:rsidRPr="00412BD8" w:rsidRDefault="00796709" w:rsidP="00412BD8">
            <w:pPr>
              <w:spacing w:after="0" w:line="240" w:lineRule="auto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отлично.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C95E94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5E9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12BD8" w:rsidRPr="00252547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52547">
        <w:rPr>
          <w:rFonts w:ascii="Times New Roman" w:hAnsi="Times New Roman"/>
          <w:b/>
          <w:sz w:val="28"/>
          <w:szCs w:val="28"/>
        </w:rPr>
        <w:t>Анализ</w:t>
      </w:r>
      <w:r w:rsidR="007F7B52" w:rsidRPr="00252547">
        <w:rPr>
          <w:rFonts w:ascii="Times New Roman" w:hAnsi="Times New Roman"/>
          <w:b/>
          <w:sz w:val="28"/>
          <w:szCs w:val="28"/>
        </w:rPr>
        <w:t xml:space="preserve"> </w:t>
      </w:r>
      <w:r w:rsidRPr="00252547">
        <w:rPr>
          <w:rFonts w:ascii="Times New Roman" w:hAnsi="Times New Roman"/>
          <w:b/>
          <w:sz w:val="28"/>
          <w:szCs w:val="28"/>
        </w:rPr>
        <w:t>достижений обучающихся</w:t>
      </w:r>
    </w:p>
    <w:p w:rsidR="00412BD8" w:rsidRPr="008D3C26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             (в </w:t>
      </w:r>
      <w:proofErr w:type="spellStart"/>
      <w:r w:rsidRPr="00252547">
        <w:rPr>
          <w:rFonts w:ascii="Times New Roman" w:hAnsi="Times New Roman"/>
          <w:b/>
          <w:sz w:val="28"/>
          <w:szCs w:val="28"/>
        </w:rPr>
        <w:t>конкурсах</w:t>
      </w:r>
      <w:proofErr w:type="gramStart"/>
      <w:r w:rsidRPr="00252547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252547">
        <w:rPr>
          <w:rFonts w:ascii="Times New Roman" w:hAnsi="Times New Roman"/>
          <w:b/>
          <w:sz w:val="28"/>
          <w:szCs w:val="28"/>
        </w:rPr>
        <w:t>оревнованиях</w:t>
      </w:r>
      <w:proofErr w:type="spellEnd"/>
      <w:r w:rsidRPr="00252547">
        <w:rPr>
          <w:rFonts w:ascii="Times New Roman" w:hAnsi="Times New Roman"/>
          <w:b/>
          <w:sz w:val="28"/>
          <w:szCs w:val="28"/>
        </w:rPr>
        <w:t>, олимпиадах различного уровня)</w:t>
      </w:r>
    </w:p>
    <w:p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02"/>
        <w:gridCol w:w="3402"/>
        <w:gridCol w:w="2100"/>
        <w:gridCol w:w="1843"/>
        <w:gridCol w:w="1988"/>
      </w:tblGrid>
      <w:tr w:rsidR="009D2471" w:rsidTr="009D2471">
        <w:trPr>
          <w:jc w:val="center"/>
        </w:trPr>
        <w:tc>
          <w:tcPr>
            <w:tcW w:w="891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gridSpan w:val="3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trHeight w:val="462"/>
          <w:jc w:val="center"/>
        </w:trPr>
        <w:tc>
          <w:tcPr>
            <w:tcW w:w="891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988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8870BC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Pr="003C463B" w:rsidRDefault="00412BD8" w:rsidP="00412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BD8" w:rsidRPr="00C624FC" w:rsidRDefault="00412BD8" w:rsidP="00412BD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2BD8" w:rsidRP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12BD8">
        <w:rPr>
          <w:rFonts w:ascii="Times New Roman" w:eastAsia="Times New Roman" w:hAnsi="Times New Roman"/>
          <w:i/>
          <w:sz w:val="20"/>
          <w:szCs w:val="20"/>
          <w:lang w:eastAsia="ru-RU"/>
        </w:rPr>
        <w:t>Официальный бланк организации</w:t>
      </w:r>
    </w:p>
    <w:p w:rsid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252547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о динамике участия обучающихся в конкурсах, соревнованиях, олимпиадах различного уровня</w:t>
      </w:r>
    </w:p>
    <w:p w:rsidR="00412BD8" w:rsidRPr="00C624F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 xml:space="preserve">Настоящая справка подтверждает, что в </w:t>
      </w:r>
      <w:r>
        <w:rPr>
          <w:rFonts w:ascii="Times New Roman" w:hAnsi="Times New Roman"/>
          <w:sz w:val="24"/>
          <w:szCs w:val="24"/>
        </w:rPr>
        <w:t>ДОУ</w:t>
      </w:r>
      <w:r w:rsidRPr="00905472">
        <w:rPr>
          <w:rFonts w:ascii="Times New Roman" w:hAnsi="Times New Roman"/>
          <w:sz w:val="24"/>
          <w:szCs w:val="24"/>
        </w:rPr>
        <w:t xml:space="preserve"> в период с 20_ по 20_ год в конкурсах и соревнованиях различного уровня принимали участие ___ (указать количество) воспитанников. Педагоги подготовили ___ (указать количество)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  <w:gridCol w:w="3118"/>
        <w:gridCol w:w="3260"/>
      </w:tblGrid>
      <w:tr w:rsidR="009D2471" w:rsidTr="009D2471">
        <w:tc>
          <w:tcPr>
            <w:tcW w:w="5920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118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260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8870BC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8870BC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472">
        <w:rPr>
          <w:rFonts w:ascii="Times New Roman" w:hAnsi="Times New Roman"/>
          <w:b/>
          <w:sz w:val="24"/>
          <w:szCs w:val="24"/>
          <w:lang w:eastAsia="ru-RU"/>
        </w:rPr>
        <w:t>Анализ результативности достижений, обучающихся ДОУ за 20_ - 20_ учебный год</w:t>
      </w: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119"/>
        <w:gridCol w:w="3118"/>
        <w:gridCol w:w="3260"/>
      </w:tblGrid>
      <w:tr w:rsidR="00412BD8" w:rsidRPr="00905472" w:rsidTr="00412BD8">
        <w:tc>
          <w:tcPr>
            <w:tcW w:w="567" w:type="dxa"/>
            <w:shd w:val="clear" w:color="auto" w:fill="00B0F0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призеров/ </w:t>
            </w:r>
          </w:p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принявших участие в конкурсах</w:t>
            </w:r>
          </w:p>
        </w:tc>
      </w:tr>
      <w:tr w:rsidR="00412BD8" w:rsidRPr="00905472" w:rsidTr="00412BD8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D8" w:rsidRPr="00905472" w:rsidTr="00412BD8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BD8" w:rsidRPr="00905472" w:rsidTr="00412BD8">
        <w:trPr>
          <w:trHeight w:val="742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4FC">
        <w:rPr>
          <w:rFonts w:ascii="Times New Roman" w:hAnsi="Times New Roman"/>
          <w:b/>
          <w:sz w:val="24"/>
          <w:szCs w:val="24"/>
        </w:rPr>
        <w:t>Вывод</w:t>
      </w:r>
      <w:proofErr w:type="gramStart"/>
      <w:r w:rsidRPr="00C624FC">
        <w:rPr>
          <w:rFonts w:ascii="Times New Roman" w:hAnsi="Times New Roman"/>
          <w:b/>
          <w:sz w:val="24"/>
          <w:szCs w:val="24"/>
        </w:rPr>
        <w:t>:</w:t>
      </w:r>
      <w:r w:rsidRPr="00412BD8">
        <w:rPr>
          <w:rFonts w:ascii="Times New Roman" w:hAnsi="Times New Roman"/>
          <w:sz w:val="24"/>
          <w:szCs w:val="24"/>
        </w:rPr>
        <w:t>Н</w:t>
      </w:r>
      <w:proofErr w:type="gramEnd"/>
      <w:r w:rsidRPr="00412BD8">
        <w:rPr>
          <w:rFonts w:ascii="Times New Roman" w:hAnsi="Times New Roman"/>
          <w:sz w:val="24"/>
          <w:szCs w:val="24"/>
        </w:rPr>
        <w:t>а</w:t>
      </w:r>
      <w:r w:rsidRPr="00905472">
        <w:rPr>
          <w:rFonts w:ascii="Times New Roman" w:hAnsi="Times New Roman"/>
          <w:sz w:val="24"/>
          <w:szCs w:val="24"/>
        </w:rPr>
        <w:t>блюдается</w:t>
      </w:r>
      <w:proofErr w:type="spellEnd"/>
      <w:r w:rsidRPr="00905472">
        <w:rPr>
          <w:rFonts w:ascii="Times New Roman" w:hAnsi="Times New Roman"/>
          <w:sz w:val="24"/>
          <w:szCs w:val="24"/>
        </w:rPr>
        <w:t xml:space="preserve"> положительная динамика участия воспитанников в конкурсах и фестивалях различного уровня. За 20 ___ г. – 20 __ г. воспитанники приняли участие ____ конкурсах.  Получили дипломы и сертификаты, звания Лауреатов в муниципальных, региональных и всероссийских конкурсах. 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 xml:space="preserve">Заняли ___ призовых места ____ различных </w:t>
      </w:r>
      <w:proofErr w:type="gramStart"/>
      <w:r w:rsidRPr="00905472"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905472">
        <w:rPr>
          <w:rFonts w:ascii="Times New Roman" w:hAnsi="Times New Roman"/>
          <w:sz w:val="24"/>
          <w:szCs w:val="24"/>
        </w:rPr>
        <w:t>, что составляет ___ %. Охват вовлеченных воспитанников в участие в конкурсах составляет ___ %.</w:t>
      </w:r>
    </w:p>
    <w:p w:rsidR="00412BD8" w:rsidRP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АНАЛИЗ здоровья (динамики) </w:t>
      </w:r>
      <w:proofErr w:type="gramStart"/>
      <w:r w:rsidRPr="0025254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12BD8" w:rsidRPr="00412BD8" w:rsidRDefault="00412BD8" w:rsidP="00412B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  <w:gridCol w:w="875"/>
      </w:tblGrid>
      <w:tr w:rsidR="00796709" w:rsidRPr="00412BD8" w:rsidTr="0091165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96709" w:rsidRPr="00412BD8" w:rsidTr="0079670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6709" w:rsidRDefault="0079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6709" w:rsidRPr="00412BD8" w:rsidTr="00796709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Количество дней посещений ДОУ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/ количество рабочих дней в календарном году х 100 %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- 0-30 % 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- 30-60 %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балла - 61-70 % 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 за календарный год /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30 дней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более 20 дней 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- 20 дней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796709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Сумма всех случаев травматизма  обучающихся в образовательном процессе за год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2 случаев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- 2 случая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- 1 случай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отсутствие случаев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6709" w:rsidRPr="00412BD8" w:rsidTr="00796709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Тенденция повышения количества  обучающихся 1, 2 групп здоровья по сравнению с предыдущим периодом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412B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2BD8">
              <w:rPr>
                <w:rFonts w:ascii="Times New Roman" w:hAnsi="Times New Roman"/>
                <w:sz w:val="24"/>
                <w:szCs w:val="24"/>
              </w:rPr>
              <w:t xml:space="preserve"> с 1 и 2 группой здоровья /общая численности  обучающихся ДОУ х 100%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увеличение менее 3 % 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увеличение менее 5 % 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увеличение на 5 %</w:t>
            </w:r>
          </w:p>
          <w:p w:rsidR="00796709" w:rsidRPr="00412BD8" w:rsidRDefault="00796709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увеличение более 5 % </w:t>
            </w:r>
          </w:p>
          <w:p w:rsidR="00796709" w:rsidRPr="00412BD8" w:rsidRDefault="00796709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709" w:rsidRPr="00412BD8" w:rsidTr="00172ECD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709" w:rsidRPr="00412BD8" w:rsidRDefault="00796709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471" w:rsidRPr="000E4906" w:rsidRDefault="009D2471" w:rsidP="009D2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90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D2471" w:rsidRPr="00252547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Уважаемые родители! </w:t>
      </w:r>
    </w:p>
    <w:p w:rsidR="009D2471" w:rsidRPr="00252547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С целью оценки качества образования в нашем детском саду,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просим вас принять участие в анкетировании. Нам важно Ваше мнение!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9D2471" w:rsidRPr="004B588A" w:rsidTr="008870BC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Скорее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Скорее не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8870BC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8870BC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педагогисоздают</w:t>
            </w:r>
            <w:proofErr w:type="spellEnd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8870BC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8870BC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легко общается </w:t>
            </w:r>
            <w:proofErr w:type="gramStart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B4A7B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624FC" w:rsidRDefault="009D2471" w:rsidP="009D2471">
      <w:pPr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D2471" w:rsidRDefault="009D2471" w:rsidP="009D2471">
      <w:pPr>
        <w:pStyle w:val="ab"/>
        <w:pBdr>
          <w:bottom w:val="single" w:sz="12" w:space="0" w:color="auto"/>
        </w:pBdr>
        <w:rPr>
          <w:sz w:val="20"/>
          <w:szCs w:val="20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982">
        <w:rPr>
          <w:rFonts w:ascii="Times New Roman" w:eastAsia="Times New Roman" w:hAnsi="Times New Roman"/>
          <w:sz w:val="20"/>
          <w:szCs w:val="20"/>
          <w:lang w:eastAsia="ru-RU"/>
        </w:rPr>
        <w:t>Официальный бланк организации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471" w:rsidRPr="00252547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 xml:space="preserve">Качественный и количественный анализ </w:t>
      </w:r>
    </w:p>
    <w:p w:rsidR="009D2471" w:rsidRPr="00B1595C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2547">
        <w:rPr>
          <w:rFonts w:ascii="Times New Roman" w:hAnsi="Times New Roman"/>
          <w:b/>
          <w:sz w:val="28"/>
          <w:szCs w:val="28"/>
        </w:rPr>
        <w:t>результатов анкетирования родителей (законных представителей) обучающихся в 20__ - 20 __ уч. г.</w:t>
      </w:r>
      <w:bookmarkStart w:id="1" w:name="_GoBack"/>
      <w:bookmarkEnd w:id="1"/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Цель анализа</w:t>
      </w:r>
      <w:r w:rsidRPr="00357AA7">
        <w:rPr>
          <w:rFonts w:ascii="Times New Roman" w:hAnsi="Times New Roman"/>
          <w:sz w:val="24"/>
          <w:szCs w:val="24"/>
        </w:rPr>
        <w:t xml:space="preserve">: изучение степени удовлетворенности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9D2471" w:rsidRPr="00012194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12194">
        <w:rPr>
          <w:rFonts w:ascii="Times New Roman" w:hAnsi="Times New Roman"/>
          <w:sz w:val="24"/>
          <w:szCs w:val="24"/>
        </w:rPr>
        <w:t>выявить представления родителей о качестве образовании в ДОУ;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2194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удовлетворенности родителей (</w:t>
      </w:r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проводится на основе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Pr="00012194">
        <w:rPr>
          <w:rFonts w:ascii="Times New Roman" w:hAnsi="Times New Roman"/>
          <w:sz w:val="24"/>
          <w:szCs w:val="24"/>
        </w:rPr>
        <w:t>родителей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Форма анкетирования</w:t>
      </w:r>
      <w:r w:rsidRPr="00357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электронная форма заполнения (анонимно).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Период анкетирования</w:t>
      </w:r>
      <w:proofErr w:type="gramStart"/>
      <w:r w:rsidRPr="00357A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месяц, год).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57AA7">
        <w:rPr>
          <w:rFonts w:ascii="Times New Roman" w:hAnsi="Times New Roman"/>
          <w:sz w:val="24"/>
          <w:szCs w:val="24"/>
        </w:rPr>
        <w:t>% родителе</w:t>
      </w:r>
      <w:proofErr w:type="gramStart"/>
      <w:r w:rsidRPr="00357AA7">
        <w:rPr>
          <w:rFonts w:ascii="Times New Roman" w:hAnsi="Times New Roman"/>
          <w:sz w:val="24"/>
          <w:szCs w:val="24"/>
        </w:rPr>
        <w:t>й(</w:t>
      </w:r>
      <w:proofErr w:type="gramEnd"/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МБДО</w:t>
      </w:r>
      <w:r>
        <w:rPr>
          <w:rFonts w:ascii="Times New Roman" w:hAnsi="Times New Roman"/>
          <w:sz w:val="24"/>
          <w:szCs w:val="24"/>
        </w:rPr>
        <w:t xml:space="preserve">У ЦРР детский сад № 86 г. Орла </w:t>
      </w:r>
      <w:r w:rsidRPr="00357AA7">
        <w:rPr>
          <w:rFonts w:ascii="Times New Roman" w:hAnsi="Times New Roman"/>
          <w:sz w:val="24"/>
          <w:szCs w:val="24"/>
        </w:rPr>
        <w:t>(исходя из того, что от семьи участвовал 1 человек). Родителя</w:t>
      </w:r>
      <w:proofErr w:type="gramStart"/>
      <w:r w:rsidRPr="00357AA7">
        <w:rPr>
          <w:rFonts w:ascii="Times New Roman" w:hAnsi="Times New Roman"/>
          <w:sz w:val="24"/>
          <w:szCs w:val="24"/>
        </w:rPr>
        <w:t>м(</w:t>
      </w:r>
      <w:proofErr w:type="gramEnd"/>
      <w:r w:rsidRPr="00357AA7">
        <w:rPr>
          <w:rFonts w:ascii="Times New Roman" w:hAnsi="Times New Roman"/>
          <w:sz w:val="24"/>
          <w:szCs w:val="24"/>
        </w:rPr>
        <w:t xml:space="preserve">законным представителям)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предлагалось ознакомиться с содержанием анкеты и оценить свое отношение по следующей </w:t>
      </w:r>
      <w:r>
        <w:rPr>
          <w:rFonts w:ascii="Times New Roman" w:hAnsi="Times New Roman"/>
          <w:sz w:val="24"/>
          <w:szCs w:val="24"/>
        </w:rPr>
        <w:t>шкале предполагаемых ответов: «</w:t>
      </w:r>
      <w:proofErr w:type="gramStart"/>
      <w:r w:rsidRPr="001D14F0"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согласен, чем не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не согласен, чем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Совершенно не согласен</w:t>
      </w:r>
      <w:r>
        <w:rPr>
          <w:rFonts w:ascii="Times New Roman" w:hAnsi="Times New Roman"/>
          <w:sz w:val="24"/>
          <w:szCs w:val="24"/>
        </w:rPr>
        <w:t>».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>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</w:t>
      </w:r>
      <w:r>
        <w:rPr>
          <w:rFonts w:ascii="Times New Roman" w:hAnsi="Times New Roman"/>
          <w:sz w:val="24"/>
          <w:szCs w:val="24"/>
        </w:rPr>
        <w:t xml:space="preserve"> - ответ «Согласен»</w:t>
      </w:r>
      <w:r w:rsidRPr="00357AA7">
        <w:rPr>
          <w:rFonts w:ascii="Times New Roman" w:hAnsi="Times New Roman"/>
          <w:sz w:val="24"/>
          <w:szCs w:val="24"/>
        </w:rPr>
        <w:t>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По результатам анкетирования выявлено следующее (</w:t>
      </w:r>
      <w:proofErr w:type="gramStart"/>
      <w:r w:rsidRPr="00357AA7">
        <w:rPr>
          <w:rFonts w:ascii="Times New Roman" w:hAnsi="Times New Roman"/>
          <w:sz w:val="24"/>
          <w:szCs w:val="24"/>
        </w:rPr>
        <w:t>в</w:t>
      </w:r>
      <w:proofErr w:type="gramEnd"/>
      <w:r w:rsidRPr="00357AA7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Удовлетворенность родителей (законных представителей) обучающихся составляет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Согласен)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</w:t>
      </w:r>
      <w:proofErr w:type="gramEnd"/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, чем 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респондентов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Скорее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, чем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proofErr w:type="spellStart"/>
      <w:r>
        <w:rPr>
          <w:rFonts w:ascii="Times New Roman" w:hAnsi="Times New Roman"/>
          <w:sz w:val="24"/>
          <w:szCs w:val="24"/>
        </w:rPr>
        <w:t>Совершенноне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070"/>
        <w:gridCol w:w="1412"/>
        <w:gridCol w:w="1410"/>
        <w:gridCol w:w="1275"/>
        <w:gridCol w:w="1585"/>
      </w:tblGrid>
      <w:tr w:rsidR="009D2471" w:rsidRPr="004B588A" w:rsidTr="009D2471">
        <w:trPr>
          <w:trHeight w:val="82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Скорее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Скорее не </w:t>
            </w:r>
            <w:proofErr w:type="gramStart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согласен</w:t>
            </w:r>
            <w:proofErr w:type="gramEnd"/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84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Детский сад достаточно обеспечен развивающими игрушками, игровым оборудованием, позволяющим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99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90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9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38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8870BC">
        <w:trPr>
          <w:trHeight w:val="33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педагогисоздают</w:t>
            </w:r>
            <w:proofErr w:type="spellEnd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42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8870BC">
        <w:trPr>
          <w:trHeight w:val="81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8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5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5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легко общается </w:t>
            </w:r>
            <w:proofErr w:type="gramStart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70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51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8870BC">
        <w:trPr>
          <w:trHeight w:val="66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887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Основные выводы по результатам анализа анкетирования</w:t>
      </w:r>
      <w:r w:rsidRPr="00A9075B"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Подавляющее большинство родителе</w:t>
      </w:r>
      <w:proofErr w:type="gramStart"/>
      <w:r w:rsidRPr="00A9075B">
        <w:rPr>
          <w:rFonts w:ascii="Times New Roman" w:hAnsi="Times New Roman"/>
          <w:sz w:val="24"/>
          <w:szCs w:val="24"/>
        </w:rPr>
        <w:t>й(</w:t>
      </w:r>
      <w:proofErr w:type="gramEnd"/>
      <w:r w:rsidRPr="00A9075B">
        <w:rPr>
          <w:rFonts w:ascii="Times New Roman" w:hAnsi="Times New Roman"/>
          <w:sz w:val="24"/>
          <w:szCs w:val="24"/>
        </w:rPr>
        <w:t>законных представителей) обучающихся удовлетворены компетентностью педагогов(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 и взаимоотношением педагога с ребенком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%) и признают детский сад оптимальной формой приобретения ребёнком личного опыта перед поступлением в школу.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Качеством предоставляемых образовательных услуг удовлетворены полностью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 опрошенных родителей, что позволяет нам сделать вывод о высоком уровне компетентности нашего ДОУ среди образовательных учреждений </w:t>
      </w:r>
      <w:r>
        <w:rPr>
          <w:rFonts w:ascii="Times New Roman" w:hAnsi="Times New Roman"/>
          <w:sz w:val="24"/>
          <w:szCs w:val="24"/>
        </w:rPr>
        <w:t>город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района)</w:t>
      </w:r>
      <w:r w:rsidRPr="00A9075B">
        <w:rPr>
          <w:rFonts w:ascii="Times New Roman" w:hAnsi="Times New Roman"/>
          <w:sz w:val="24"/>
          <w:szCs w:val="24"/>
        </w:rPr>
        <w:t xml:space="preserve">. Кроме того, родителей интересуют вопросы сохранения и укрепления здоровья детей, обучения и воспитания и успешной </w:t>
      </w:r>
      <w:proofErr w:type="gramStart"/>
      <w:r w:rsidRPr="00A9075B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A9075B">
        <w:rPr>
          <w:rFonts w:ascii="Times New Roman" w:hAnsi="Times New Roman"/>
          <w:sz w:val="24"/>
          <w:szCs w:val="24"/>
        </w:rPr>
        <w:t xml:space="preserve">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</w:t>
      </w:r>
      <w:proofErr w:type="gramStart"/>
      <w:r w:rsidRPr="00A9075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%).</w:t>
      </w:r>
      <w:proofErr w:type="gramEnd"/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Исходя из выше указанного, в качестве рекомендаций по повышению удовлетворённости родителей (законных представителе)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9075B">
        <w:rPr>
          <w:rFonts w:ascii="Times New Roman" w:hAnsi="Times New Roman"/>
          <w:sz w:val="24"/>
          <w:szCs w:val="24"/>
        </w:rPr>
        <w:t xml:space="preserve"> качеством образовательного процесса и учета мнений всех категорий его участников отметим следующие перспективные направления деятельности ДОУ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75B">
        <w:rPr>
          <w:rFonts w:ascii="Times New Roman" w:hAnsi="Times New Roman"/>
          <w:sz w:val="24"/>
          <w:szCs w:val="24"/>
        </w:rPr>
        <w:t>следующем учебном году</w:t>
      </w:r>
      <w:r>
        <w:rPr>
          <w:rFonts w:ascii="Times New Roman" w:hAnsi="Times New Roman"/>
          <w:sz w:val="24"/>
          <w:szCs w:val="24"/>
        </w:rPr>
        <w:t xml:space="preserve"> (например)</w:t>
      </w:r>
      <w:r w:rsidRPr="00A9075B">
        <w:rPr>
          <w:rFonts w:ascii="Times New Roman" w:hAnsi="Times New Roman"/>
          <w:sz w:val="24"/>
          <w:szCs w:val="24"/>
        </w:rPr>
        <w:t xml:space="preserve">: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Продолжать деятельность по повышению уровня профессиональной подготовки педагогов.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Внедрять наиболее эффективные формы взаимодействия с семьями обучающихся с учетом выявленного мнения родителей. </w:t>
      </w:r>
    </w:p>
    <w:p w:rsidR="009D2471" w:rsidRDefault="009D2471" w:rsidP="009D2471">
      <w:pPr>
        <w:spacing w:after="0" w:line="240" w:lineRule="auto"/>
        <w:ind w:firstLine="709"/>
        <w:jc w:val="both"/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</w:p>
    <w:sectPr w:rsidR="009D2471" w:rsidSect="00D4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17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449"/>
    <w:multiLevelType w:val="hybridMultilevel"/>
    <w:tmpl w:val="2DB84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756B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03E5"/>
    <w:multiLevelType w:val="hybridMultilevel"/>
    <w:tmpl w:val="737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E7645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0C0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28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4941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3C17"/>
    <w:multiLevelType w:val="multilevel"/>
    <w:tmpl w:val="FB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27ECE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F38A3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139E4"/>
    <w:multiLevelType w:val="hybridMultilevel"/>
    <w:tmpl w:val="5EBE00BC"/>
    <w:lvl w:ilvl="0" w:tplc="44DE6908"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40DD1DCA"/>
    <w:multiLevelType w:val="hybridMultilevel"/>
    <w:tmpl w:val="2FAEA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00EB3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7A1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0F91"/>
    <w:multiLevelType w:val="hybridMultilevel"/>
    <w:tmpl w:val="A6C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149A7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7A6EB5"/>
    <w:multiLevelType w:val="hybridMultilevel"/>
    <w:tmpl w:val="1B2A5EE2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4649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469EA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7E4"/>
    <w:multiLevelType w:val="hybridMultilevel"/>
    <w:tmpl w:val="875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4867"/>
    <w:multiLevelType w:val="hybridMultilevel"/>
    <w:tmpl w:val="B8D0AE6A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C617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3254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22"/>
  </w:num>
  <w:num w:numId="6">
    <w:abstractNumId w:val="35"/>
  </w:num>
  <w:num w:numId="7">
    <w:abstractNumId w:val="14"/>
  </w:num>
  <w:num w:numId="8">
    <w:abstractNumId w:val="3"/>
  </w:num>
  <w:num w:numId="9">
    <w:abstractNumId w:val="31"/>
  </w:num>
  <w:num w:numId="10">
    <w:abstractNumId w:val="34"/>
  </w:num>
  <w:num w:numId="11">
    <w:abstractNumId w:val="10"/>
  </w:num>
  <w:num w:numId="12">
    <w:abstractNumId w:val="20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6"/>
  </w:num>
  <w:num w:numId="18">
    <w:abstractNumId w:val="17"/>
  </w:num>
  <w:num w:numId="19">
    <w:abstractNumId w:val="2"/>
  </w:num>
  <w:num w:numId="20">
    <w:abstractNumId w:val="32"/>
  </w:num>
  <w:num w:numId="21">
    <w:abstractNumId w:val="16"/>
  </w:num>
  <w:num w:numId="22">
    <w:abstractNumId w:val="26"/>
  </w:num>
  <w:num w:numId="23">
    <w:abstractNumId w:val="1"/>
  </w:num>
  <w:num w:numId="24">
    <w:abstractNumId w:val="9"/>
  </w:num>
  <w:num w:numId="25">
    <w:abstractNumId w:val="15"/>
  </w:num>
  <w:num w:numId="26">
    <w:abstractNumId w:val="18"/>
  </w:num>
  <w:num w:numId="27">
    <w:abstractNumId w:val="7"/>
  </w:num>
  <w:num w:numId="28">
    <w:abstractNumId w:val="4"/>
  </w:num>
  <w:num w:numId="29">
    <w:abstractNumId w:val="33"/>
  </w:num>
  <w:num w:numId="30">
    <w:abstractNumId w:val="28"/>
  </w:num>
  <w:num w:numId="31">
    <w:abstractNumId w:val="13"/>
  </w:num>
  <w:num w:numId="32">
    <w:abstractNumId w:val="8"/>
  </w:num>
  <w:num w:numId="33">
    <w:abstractNumId w:val="21"/>
  </w:num>
  <w:num w:numId="34">
    <w:abstractNumId w:val="1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320"/>
    <w:rsid w:val="00006A1D"/>
    <w:rsid w:val="00077ACD"/>
    <w:rsid w:val="000B415F"/>
    <w:rsid w:val="000E6711"/>
    <w:rsid w:val="00167D40"/>
    <w:rsid w:val="0019466D"/>
    <w:rsid w:val="0019612D"/>
    <w:rsid w:val="001B1DAB"/>
    <w:rsid w:val="00223C1C"/>
    <w:rsid w:val="00252547"/>
    <w:rsid w:val="002C690A"/>
    <w:rsid w:val="002D0967"/>
    <w:rsid w:val="00312D46"/>
    <w:rsid w:val="003238AC"/>
    <w:rsid w:val="00394D02"/>
    <w:rsid w:val="00412BD8"/>
    <w:rsid w:val="0043512D"/>
    <w:rsid w:val="00442C5A"/>
    <w:rsid w:val="00445AF1"/>
    <w:rsid w:val="004765BD"/>
    <w:rsid w:val="004924A9"/>
    <w:rsid w:val="004C549C"/>
    <w:rsid w:val="00564478"/>
    <w:rsid w:val="005B35D2"/>
    <w:rsid w:val="005E1319"/>
    <w:rsid w:val="0068198B"/>
    <w:rsid w:val="006E4EF5"/>
    <w:rsid w:val="007120DF"/>
    <w:rsid w:val="00796709"/>
    <w:rsid w:val="007A6AB6"/>
    <w:rsid w:val="007F7B52"/>
    <w:rsid w:val="008336BB"/>
    <w:rsid w:val="008870BC"/>
    <w:rsid w:val="0089006F"/>
    <w:rsid w:val="008B2B6F"/>
    <w:rsid w:val="009223E8"/>
    <w:rsid w:val="0092401B"/>
    <w:rsid w:val="009B139E"/>
    <w:rsid w:val="009C20F3"/>
    <w:rsid w:val="009D2471"/>
    <w:rsid w:val="00A256E8"/>
    <w:rsid w:val="00A5384F"/>
    <w:rsid w:val="00A6318B"/>
    <w:rsid w:val="00A653F1"/>
    <w:rsid w:val="00AE682C"/>
    <w:rsid w:val="00B55415"/>
    <w:rsid w:val="00CD1AFE"/>
    <w:rsid w:val="00D37777"/>
    <w:rsid w:val="00D424D4"/>
    <w:rsid w:val="00D86320"/>
    <w:rsid w:val="00E55603"/>
    <w:rsid w:val="00EF000B"/>
    <w:rsid w:val="00F6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B415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B139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139E"/>
  </w:style>
  <w:style w:type="paragraph" w:styleId="a4">
    <w:name w:val="List Paragraph"/>
    <w:basedOn w:val="a"/>
    <w:uiPriority w:val="34"/>
    <w:qFormat/>
    <w:rsid w:val="009B1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13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B13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9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5">
    <w:name w:val="Сетка таблицы5"/>
    <w:basedOn w:val="a1"/>
    <w:next w:val="a3"/>
    <w:uiPriority w:val="59"/>
    <w:rsid w:val="009B13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1"/>
    <w:uiPriority w:val="99"/>
    <w:locked/>
    <w:rsid w:val="009B139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B139E"/>
    <w:pPr>
      <w:shd w:val="clear" w:color="auto" w:fill="FFFFFF"/>
      <w:spacing w:after="0" w:line="312" w:lineRule="exact"/>
      <w:jc w:val="both"/>
    </w:pPr>
    <w:rPr>
      <w:b/>
      <w:bCs/>
      <w:sz w:val="23"/>
      <w:szCs w:val="23"/>
      <w:lang w:eastAsia="ru-RU"/>
    </w:rPr>
  </w:style>
  <w:style w:type="table" w:customStyle="1" w:styleId="6">
    <w:name w:val="Сетка таблицы6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12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412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412BD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FF63-6E01-48ED-80A9-EE4C0306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11757</Words>
  <Characters>67016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MDOU73</cp:lastModifiedBy>
  <cp:revision>25</cp:revision>
  <cp:lastPrinted>2020-01-11T10:37:00Z</cp:lastPrinted>
  <dcterms:created xsi:type="dcterms:W3CDTF">2020-01-03T19:30:00Z</dcterms:created>
  <dcterms:modified xsi:type="dcterms:W3CDTF">2021-09-29T05:31:00Z</dcterms:modified>
</cp:coreProperties>
</file>